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FC" w:rsidRPr="0098384D" w:rsidRDefault="00BB2EFC" w:rsidP="00BB2EF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3BF641E" wp14:editId="4070CED5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EFC" w:rsidRPr="0098384D" w:rsidRDefault="00BB2EFC" w:rsidP="00BB2EFC">
      <w:pPr>
        <w:pStyle w:val="Brezrazmikov"/>
        <w:jc w:val="center"/>
        <w:rPr>
          <w:b/>
          <w:bCs/>
        </w:rPr>
      </w:pP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</w:t>
      </w:r>
      <w:r>
        <w:rPr>
          <w:bCs/>
          <w:sz w:val="16"/>
        </w:rPr>
        <w:t>za gospodarjenje s premoženjem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BB2EFC" w:rsidRPr="00186806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r>
        <w:t>Štev. 351-4/2023</w:t>
      </w:r>
    </w:p>
    <w:p w:rsidR="00BB2EFC" w:rsidRDefault="00BB2EFC" w:rsidP="00BB2EFC">
      <w:pPr>
        <w:pStyle w:val="Brezrazmikov"/>
        <w:jc w:val="both"/>
      </w:pPr>
      <w:r>
        <w:t>Dne   17.2.2023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  <w:rPr>
          <w:rFonts w:cstheme="minorHAnsi"/>
        </w:rPr>
      </w:pPr>
      <w:r w:rsidRPr="00DA2F9C">
        <w:rPr>
          <w:rFonts w:eastAsia="Times New Roman" w:cstheme="minorHAnsi"/>
          <w:lang w:eastAsia="sl-SI"/>
        </w:rPr>
        <w:t xml:space="preserve">Na podlagi </w:t>
      </w:r>
      <w:r w:rsidRPr="00DA2F9C">
        <w:rPr>
          <w:rFonts w:cstheme="minorHAnsi"/>
        </w:rPr>
        <w:t>22. člena Statuta Občine Kidričevo Uradno glasilo slovenskih občin, št. 62/16 in 16/18) in 59. člena Poslovnika občinskega sveta Občine Kidričevo (Uradno glasilo slovenskih občin, št. 36/17 in 16/18) odbor za gospodarjenje s premoženjem predlaga občinskemu svetu Občine Kidričevo, da sprejme</w:t>
      </w: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BB2EFC" w:rsidRPr="00BB2EFC" w:rsidRDefault="00BB2EFC" w:rsidP="00BB2EFC">
      <w:pPr>
        <w:pStyle w:val="Brezrazmikov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S  K  L  E  P</w:t>
      </w:r>
    </w:p>
    <w:p w:rsidR="002330C1" w:rsidRDefault="002330C1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r>
        <w:t>Odbor za gospodarjenje s premoženjem predlaga o</w:t>
      </w:r>
      <w:r>
        <w:t>bčinsk</w:t>
      </w:r>
      <w:r>
        <w:t>emu</w:t>
      </w:r>
      <w:r>
        <w:t xml:space="preserve"> svet</w:t>
      </w:r>
      <w:r>
        <w:t>u</w:t>
      </w:r>
      <w:r>
        <w:t xml:space="preserve"> Občine Kidričev</w:t>
      </w:r>
      <w:r>
        <w:t>o, da</w:t>
      </w:r>
      <w:r>
        <w:t xml:space="preserve"> sprejme Dokument identifikacije investicijskega projekta (DIIP) za Novo poslovno upravno stavbo Komunala Slovenska Bistrica. 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center"/>
      </w:pPr>
      <w:r>
        <w:t>O b r a z l o ž i t e v</w:t>
      </w:r>
    </w:p>
    <w:p w:rsidR="00BB2EFC" w:rsidRDefault="00BB2EFC" w:rsidP="00BB2EFC">
      <w:pPr>
        <w:pStyle w:val="Brezrazmikov"/>
        <w:jc w:val="center"/>
      </w:pPr>
    </w:p>
    <w:p w:rsidR="00BB2EFC" w:rsidRDefault="00BB2EFC" w:rsidP="00BB2EFC">
      <w:pPr>
        <w:pStyle w:val="Brezrazmikov"/>
        <w:jc w:val="center"/>
      </w:pPr>
    </w:p>
    <w:p w:rsidR="00BB2EFC" w:rsidRDefault="00BB2EFC" w:rsidP="00BB2EFC">
      <w:pPr>
        <w:pStyle w:val="Brezrazmikov"/>
        <w:jc w:val="both"/>
      </w:pPr>
      <w:r>
        <w:t xml:space="preserve">Odbor za gospodarjenje s premoženjem je na sovji 1. redni seji, dne 16.2.2023 obravnaval predlog DIIP-a za novo poslovno upravno stavbo Komunale Slovenska Bistrica. 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r>
        <w:t xml:space="preserve">Glede na to, da odbor ne predlagani DIIP ni imel pripomb predlaga, da ga občinski svet sprejme. </w:t>
      </w:r>
      <w:bookmarkStart w:id="0" w:name="_GoBack"/>
      <w:bookmarkEnd w:id="0"/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Silva Orovič Serdinšek;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 premoženjem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B2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2330C1"/>
    <w:rsid w:val="00BB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7CE5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</cp:revision>
  <dcterms:created xsi:type="dcterms:W3CDTF">2023-02-17T06:44:00Z</dcterms:created>
  <dcterms:modified xsi:type="dcterms:W3CDTF">2023-02-17T06:53:00Z</dcterms:modified>
</cp:coreProperties>
</file>